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黑体"/>
          <w:b/>
          <w:color w:val="1D4E9E"/>
          <w:sz w:val="32"/>
        </w:rPr>
        <w:t>财务报表模板（小企业版）</w:t>
      </w:r>
    </w:p>
    <w:p>
      <w:pPr>
        <w:jc w:val="center"/>
      </w:pPr>
      <w:r>
        <w:rPr>
          <w:rFonts w:ascii="Times New Roman" w:hAnsi="Times New Roman" w:eastAsia="宋体"/>
          <w:b w:val="0"/>
          <w:color w:val="222B3A"/>
          <w:sz w:val="18"/>
        </w:rPr>
        <w:t>企业名称：____________  报表期间：____ 年 __ 月</w:t>
      </w:r>
    </w:p>
    <w:p>
      <w:pPr>
        <w:jc w:val="center"/>
      </w:pPr>
      <w:r>
        <w:rPr>
          <w:rFonts w:ascii="Times New Roman" w:hAnsi="Times New Roman" w:eastAsia="宋体"/>
          <w:b w:val="0"/>
          <w:color w:val="888888"/>
          <w:sz w:val="16"/>
        </w:rPr>
        <w:t>助业谷众创空间 · 创业工具箱 · 模板仅供起草参考，正式使用前请由专业人士审核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一、资产负债表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（单位：元）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/>
            <w:r>
              <w:rPr>
                <w:rFonts w:ascii="Times New Roman" w:hAnsi="Times New Roman" w:eastAsia="黑体"/>
                <w:b/>
                <w:color w:val="1D4E9E"/>
                <w:sz w:val="18"/>
              </w:rPr>
              <w:t>资产</w:t>
            </w:r>
          </w:p>
        </w:tc>
        <w:tc>
          <w:tcPr>
            <w:tcW w:type="dxa" w:w="2351"/>
          </w:tcPr>
          <w:p>
            <w:r/>
            <w:r>
              <w:rPr>
                <w:rFonts w:ascii="Times New Roman" w:hAnsi="Times New Roman" w:eastAsia="黑体"/>
                <w:b/>
                <w:color w:val="1D4E9E"/>
                <w:sz w:val="18"/>
              </w:rPr>
              <w:t>期末余额</w:t>
            </w:r>
          </w:p>
        </w:tc>
        <w:tc>
          <w:tcPr>
            <w:tcW w:type="dxa" w:w="2351"/>
          </w:tcPr>
          <w:p>
            <w:r/>
            <w:r>
              <w:rPr>
                <w:rFonts w:ascii="Times New Roman" w:hAnsi="Times New Roman" w:eastAsia="黑体"/>
                <w:b/>
                <w:color w:val="1D4E9E"/>
                <w:sz w:val="18"/>
              </w:rPr>
              <w:t>负债及所有者权益</w:t>
            </w:r>
          </w:p>
        </w:tc>
        <w:tc>
          <w:tcPr>
            <w:tcW w:type="dxa" w:w="2351"/>
          </w:tcPr>
          <w:p>
            <w:r/>
            <w:r>
              <w:rPr>
                <w:rFonts w:ascii="Times New Roman" w:hAnsi="Times New Roman" w:eastAsia="黑体"/>
                <w:b/>
                <w:color w:val="1D4E9E"/>
                <w:sz w:val="18"/>
              </w:rPr>
              <w:t>期末余额</w:t>
            </w:r>
          </w:p>
        </w:tc>
      </w:tr>
      <w:tr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货币资金</w:t>
            </w:r>
          </w:p>
        </w:tc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短期借款</w:t>
            </w:r>
          </w:p>
        </w:tc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  <w:tr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应收账款</w:t>
            </w:r>
          </w:p>
        </w:tc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应付账款</w:t>
            </w:r>
          </w:p>
        </w:tc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  <w:tr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存货</w:t>
            </w:r>
          </w:p>
        </w:tc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应付职工薪酬</w:t>
            </w:r>
          </w:p>
        </w:tc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  <w:tr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固定资产</w:t>
            </w:r>
          </w:p>
        </w:tc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实收资本</w:t>
            </w:r>
          </w:p>
        </w:tc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  <w:tr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无形资产</w:t>
            </w:r>
          </w:p>
        </w:tc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未分配利润</w:t>
            </w:r>
          </w:p>
        </w:tc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  <w:tr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资产总计</w:t>
            </w:r>
          </w:p>
        </w:tc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负债及所有者权益总计</w:t>
            </w:r>
          </w:p>
        </w:tc>
        <w:tc>
          <w:tcPr>
            <w:tcW w:type="dxa" w:w="2351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</w:tbl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二、利润表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（单位：元）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/>
            <w:r>
              <w:rPr>
                <w:rFonts w:ascii="Times New Roman" w:hAnsi="Times New Roman" w:eastAsia="黑体"/>
                <w:b/>
                <w:color w:val="1D4E9E"/>
                <w:sz w:val="18"/>
              </w:rPr>
              <w:t>项目</w:t>
            </w:r>
          </w:p>
        </w:tc>
        <w:tc>
          <w:tcPr>
            <w:tcW w:type="dxa" w:w="4703"/>
          </w:tcPr>
          <w:p>
            <w:r/>
            <w:r>
              <w:rPr>
                <w:rFonts w:ascii="Times New Roman" w:hAnsi="Times New Roman" w:eastAsia="黑体"/>
                <w:b/>
                <w:color w:val="1D4E9E"/>
                <w:sz w:val="18"/>
              </w:rPr>
              <w:t>本期金额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营业收入</w:t>
            </w:r>
          </w:p>
        </w:tc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减：营业成本</w:t>
            </w:r>
          </w:p>
        </w:tc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税金及附加</w:t>
            </w:r>
          </w:p>
        </w:tc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销售费用</w:t>
            </w:r>
          </w:p>
        </w:tc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管理费用</w:t>
            </w:r>
          </w:p>
        </w:tc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财务费用</w:t>
            </w:r>
          </w:p>
        </w:tc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营业利润</w:t>
            </w:r>
          </w:p>
        </w:tc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加：营业外收入</w:t>
            </w:r>
          </w:p>
        </w:tc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减：营业外支出</w:t>
            </w:r>
          </w:p>
        </w:tc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利润总额</w:t>
            </w:r>
          </w:p>
        </w:tc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减：所得税费用</w:t>
            </w:r>
          </w:p>
        </w:tc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净利润</w:t>
            </w:r>
          </w:p>
        </w:tc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</w:tbl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三、现金流量表（简表）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（单位：元）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/>
            <w:r>
              <w:rPr>
                <w:rFonts w:ascii="Times New Roman" w:hAnsi="Times New Roman" w:eastAsia="黑体"/>
                <w:b/>
                <w:color w:val="1D4E9E"/>
                <w:sz w:val="18"/>
              </w:rPr>
              <w:t>项目</w:t>
            </w:r>
          </w:p>
        </w:tc>
        <w:tc>
          <w:tcPr>
            <w:tcW w:type="dxa" w:w="4703"/>
          </w:tcPr>
          <w:p>
            <w:r/>
            <w:r>
              <w:rPr>
                <w:rFonts w:ascii="Times New Roman" w:hAnsi="Times New Roman" w:eastAsia="黑体"/>
                <w:b/>
                <w:color w:val="1D4E9E"/>
                <w:sz w:val="18"/>
              </w:rPr>
              <w:t>本期金额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经营活动产生的现金流量净额</w:t>
            </w:r>
          </w:p>
        </w:tc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投资活动产生的现金流量净额</w:t>
            </w:r>
          </w:p>
        </w:tc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筹资活动产生的现金流量净额</w:t>
            </w:r>
          </w:p>
        </w:tc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现金及现金等价物净增加额</w:t>
            </w:r>
          </w:p>
        </w:tc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期初现金及现金等价物余额</w:t>
            </w:r>
          </w:p>
        </w:tc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期末现金及现金等价物余额</w:t>
            </w:r>
          </w:p>
        </w:tc>
        <w:tc>
          <w:tcPr>
            <w:tcW w:type="dxa" w:w="4703"/>
          </w:tcPr>
          <w:p>
            <w:r/>
            <w:r>
              <w:rPr>
                <w:rFonts w:ascii="Times New Roman" w:hAnsi="Times New Roman" w:eastAsia="宋体"/>
                <w:b w:val="0"/>
                <w:sz w:val="18"/>
              </w:rPr>
              <w:t>________</w:t>
            </w:r>
          </w:p>
        </w:tc>
      </w:tr>
    </w:tbl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编制人：____________  复核人：____________  编制日期：____________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提示：本表为管理用简表，正式对外报送请使用税务机关/会计准则规定的报表格式。</w:t>
      </w:r>
    </w:p>
    <w:sectPr w:rsidR="00FC693F" w:rsidRPr="0006063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